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320" cy="1066800"/>
            <wp:effectExtent l="19050" t="0" r="0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5D5" w:rsidRPr="008435D5" w:rsidRDefault="008435D5" w:rsidP="008435D5">
      <w:pPr>
        <w:tabs>
          <w:tab w:val="left" w:pos="1172"/>
        </w:tabs>
        <w:spacing w:after="0"/>
        <w:rPr>
          <w:rFonts w:ascii="Times New Roman" w:hAnsi="Times New Roman" w:cs="Times New Roman"/>
        </w:rPr>
      </w:pPr>
    </w:p>
    <w:p w:rsidR="008435D5" w:rsidRPr="008435D5" w:rsidRDefault="008435D5" w:rsidP="008435D5">
      <w:pPr>
        <w:tabs>
          <w:tab w:val="left" w:pos="11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5D5">
        <w:rPr>
          <w:rFonts w:ascii="Times New Roman" w:hAnsi="Times New Roman" w:cs="Times New Roman"/>
          <w:sz w:val="28"/>
          <w:szCs w:val="28"/>
        </w:rPr>
        <w:t xml:space="preserve">«28» сентября 2023 г.   № 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9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            г. Богучар</w:t>
      </w:r>
    </w:p>
    <w:p w:rsidR="008435D5" w:rsidRPr="002B59E4" w:rsidRDefault="008435D5" w:rsidP="008435D5">
      <w:pPr>
        <w:spacing w:after="0"/>
        <w:ind w:right="3118"/>
        <w:jc w:val="both"/>
        <w:rPr>
          <w:rFonts w:eastAsia="Calibri"/>
          <w:sz w:val="28"/>
          <w:szCs w:val="28"/>
        </w:rPr>
      </w:pP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>регламента по предоставлению муниципальной</w:t>
      </w:r>
    </w:p>
    <w:p w:rsidR="00AC4094" w:rsidRPr="00AC4094" w:rsidRDefault="00AC4094" w:rsidP="00AC40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F16FD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C4094">
        <w:rPr>
          <w:rFonts w:ascii="Times New Roman" w:hAnsi="Times New Roman" w:cs="Times New Roman"/>
          <w:sz w:val="28"/>
          <w:szCs w:val="28"/>
        </w:rPr>
        <w:t>земельных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государственной или муниципальной 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 xml:space="preserve">собственности и земельных участков, находящихся 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C4094" w:rsidRDefault="00AC4094" w:rsidP="00AC4094">
      <w:pPr>
        <w:pStyle w:val="ad"/>
        <w:ind w:firstLine="709"/>
        <w:jc w:val="both"/>
      </w:pPr>
      <w:r w:rsidRPr="00AC4094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4094">
        <w:rPr>
          <w:rStyle w:val="FontStyle18"/>
          <w:sz w:val="28"/>
          <w:szCs w:val="28"/>
        </w:rPr>
        <w:t>,</w:t>
      </w:r>
      <w:r w:rsidRPr="00AC4094">
        <w:rPr>
          <w:lang w:eastAsia="ru-RU"/>
        </w:rPr>
        <w:t xml:space="preserve"> </w:t>
      </w:r>
      <w:r w:rsidRPr="00AC4094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435D5">
        <w:t xml:space="preserve">городского поселения – город Богучар администрация городского поселения – город Богучар </w:t>
      </w:r>
    </w:p>
    <w:p w:rsidR="008435D5" w:rsidRDefault="008435D5" w:rsidP="008435D5">
      <w:pPr>
        <w:pStyle w:val="ad"/>
        <w:ind w:firstLine="709"/>
        <w:jc w:val="center"/>
      </w:pPr>
    </w:p>
    <w:p w:rsidR="008435D5" w:rsidRDefault="008435D5" w:rsidP="008435D5">
      <w:pPr>
        <w:pStyle w:val="ad"/>
        <w:ind w:firstLine="709"/>
        <w:jc w:val="center"/>
      </w:pPr>
      <w:r>
        <w:t>ПОСТАНОВЛЯЕТ:</w:t>
      </w:r>
    </w:p>
    <w:p w:rsidR="008435D5" w:rsidRPr="00AC4094" w:rsidRDefault="008435D5" w:rsidP="008435D5">
      <w:pPr>
        <w:pStyle w:val="ad"/>
        <w:ind w:firstLine="709"/>
        <w:jc w:val="center"/>
      </w:pPr>
    </w:p>
    <w:p w:rsidR="00AC4094" w:rsidRPr="00AC4094" w:rsidRDefault="00AC4094" w:rsidP="00AC40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0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Утвердить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административ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ный регламент по предоставлению 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муниципальной </w:t>
      </w:r>
      <w:r w:rsidR="00752B7B">
        <w:rPr>
          <w:rFonts w:ascii="Times New Roman" w:hAnsi="Times New Roman" w:cs="Times New Roman"/>
          <w:b w:val="0"/>
          <w:sz w:val="28"/>
          <w:szCs w:val="28"/>
        </w:rPr>
        <w:t>услуги «Перераспределение земель и (или)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>участков,  находящихся в государственной или муниципальной собственности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C4094" w:rsidRPr="00AC4094" w:rsidRDefault="00AC4094" w:rsidP="00AC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8435D5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AC4094">
        <w:rPr>
          <w:rFonts w:ascii="Times New Roman" w:hAnsi="Times New Roman" w:cs="Times New Roman"/>
          <w:sz w:val="28"/>
          <w:szCs w:val="28"/>
        </w:rPr>
        <w:t xml:space="preserve"> от </w:t>
      </w:r>
      <w:r w:rsidR="008435D5">
        <w:rPr>
          <w:rFonts w:ascii="Times New Roman" w:eastAsia="Calibri" w:hAnsi="Times New Roman" w:cs="Times New Roman"/>
          <w:sz w:val="28"/>
          <w:szCs w:val="28"/>
        </w:rPr>
        <w:t>03.10</w:t>
      </w:r>
      <w:r w:rsidRPr="00AC4094">
        <w:rPr>
          <w:rFonts w:ascii="Times New Roman" w:eastAsia="Calibri" w:hAnsi="Times New Roman" w:cs="Times New Roman"/>
          <w:sz w:val="28"/>
          <w:szCs w:val="28"/>
        </w:rPr>
        <w:t>.</w:t>
      </w:r>
      <w:r w:rsidR="008435D5">
        <w:rPr>
          <w:rFonts w:ascii="Times New Roman" w:eastAsia="Calibri" w:hAnsi="Times New Roman" w:cs="Times New Roman"/>
          <w:sz w:val="28"/>
          <w:szCs w:val="28"/>
        </w:rPr>
        <w:t>2016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435D5">
        <w:rPr>
          <w:rFonts w:ascii="Times New Roman" w:eastAsia="Calibri" w:hAnsi="Times New Roman" w:cs="Times New Roman"/>
          <w:sz w:val="28"/>
          <w:szCs w:val="28"/>
        </w:rPr>
        <w:t>244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AC4094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8435D5">
        <w:rPr>
          <w:rFonts w:ascii="Times New Roman" w:eastAsia="Calibri" w:hAnsi="Times New Roman" w:cs="Times New Roman"/>
          <w:sz w:val="28"/>
          <w:szCs w:val="28"/>
        </w:rPr>
        <w:t>Заключение соглашения о п</w:t>
      </w:r>
      <w:r w:rsidR="008435D5">
        <w:rPr>
          <w:rFonts w:ascii="Times New Roman" w:hAnsi="Times New Roman" w:cs="Times New Roman"/>
          <w:sz w:val="28"/>
          <w:szCs w:val="28"/>
        </w:rPr>
        <w:t>ерераспределении</w:t>
      </w:r>
      <w:r w:rsidRPr="00AC4094">
        <w:rPr>
          <w:rFonts w:ascii="Times New Roman" w:hAnsi="Times New Roman" w:cs="Times New Roman"/>
          <w:sz w:val="28"/>
          <w:szCs w:val="28"/>
        </w:rPr>
        <w:t xml:space="preserve">   земель  и  (или)  земельных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5D5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7712E2">
        <w:rPr>
          <w:rFonts w:ascii="Times New Roman" w:hAnsi="Times New Roman" w:cs="Times New Roman"/>
          <w:sz w:val="28"/>
          <w:szCs w:val="28"/>
        </w:rPr>
        <w:t xml:space="preserve">, </w:t>
      </w:r>
      <w:r w:rsidRPr="00AC4094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C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7712E2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AC4094">
        <w:rPr>
          <w:rFonts w:ascii="Times New Roman" w:hAnsi="Times New Roman" w:cs="Times New Roman"/>
          <w:sz w:val="28"/>
          <w:szCs w:val="28"/>
        </w:rPr>
        <w:t>.</w:t>
      </w:r>
    </w:p>
    <w:p w:rsidR="00565107" w:rsidRDefault="00AC4094" w:rsidP="007712E2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t xml:space="preserve">3. </w:t>
      </w:r>
      <w:r w:rsidRPr="00457FD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</w:t>
      </w:r>
      <w:r w:rsidR="007712E2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7712E2" w:rsidRPr="007712E2" w:rsidRDefault="007712E2" w:rsidP="007712E2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C4094" w:rsidRDefault="007712E2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AC4094" w:rsidRPr="00AC40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:rsidR="007712E2" w:rsidRPr="00AC4094" w:rsidRDefault="007712E2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         </w:t>
      </w:r>
      <w:r w:rsidR="00E355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А.С. Коптев</w:t>
      </w:r>
    </w:p>
    <w:p w:rsidR="00AC4094" w:rsidRPr="00AC4094" w:rsidRDefault="00AC4094" w:rsidP="00AC40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07" w:rsidRPr="00D32BED" w:rsidRDefault="00565107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A96" w:rsidRPr="00D32BED" w:rsidRDefault="007712E2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Богучар</w:t>
      </w:r>
    </w:p>
    <w:p w:rsidR="00861A43" w:rsidRPr="007712E2" w:rsidRDefault="00E20A96" w:rsidP="0086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43" w:rsidRPr="00861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71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1A43" w:rsidRPr="007712E2">
        <w:rPr>
          <w:rFonts w:ascii="Times New Roman" w:hAnsi="Times New Roman" w:cs="Times New Roman"/>
          <w:sz w:val="28"/>
          <w:szCs w:val="28"/>
        </w:rPr>
        <w:t>от</w:t>
      </w:r>
      <w:r w:rsidR="007712E2">
        <w:rPr>
          <w:rFonts w:ascii="Times New Roman" w:hAnsi="Times New Roman" w:cs="Times New Roman"/>
          <w:sz w:val="28"/>
          <w:szCs w:val="28"/>
        </w:rPr>
        <w:t xml:space="preserve"> «28</w:t>
      </w:r>
      <w:r w:rsidR="00861A43" w:rsidRPr="007712E2">
        <w:rPr>
          <w:rFonts w:ascii="Times New Roman" w:hAnsi="Times New Roman" w:cs="Times New Roman"/>
          <w:sz w:val="28"/>
          <w:szCs w:val="28"/>
        </w:rPr>
        <w:t xml:space="preserve">» сентября 2023 г. № </w:t>
      </w:r>
      <w:r w:rsidR="007712E2">
        <w:rPr>
          <w:rFonts w:ascii="Times New Roman" w:hAnsi="Times New Roman" w:cs="Times New Roman"/>
          <w:sz w:val="28"/>
          <w:szCs w:val="28"/>
        </w:rPr>
        <w:t>232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 находящихся в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«Перераспределение   земель </w:t>
      </w:r>
      <w:r w:rsidR="00700F5F">
        <w:rPr>
          <w:rFonts w:ascii="Times New Roman" w:hAnsi="Times New Roman" w:cs="Times New Roman"/>
          <w:bCs/>
          <w:sz w:val="28"/>
          <w:szCs w:val="28"/>
        </w:rPr>
        <w:t xml:space="preserve"> и  (или)  земельных участков,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находящихся в </w:t>
      </w:r>
      <w:r w:rsidR="00AA49A7" w:rsidRPr="00D32BED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bCs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  <w:r w:rsidR="00565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</w:t>
      </w:r>
      <w:r w:rsidR="00BE6795" w:rsidRPr="00D32BED">
        <w:rPr>
          <w:rFonts w:ascii="Times New Roman" w:hAnsi="Times New Roman" w:cs="Times New Roman"/>
          <w:sz w:val="28"/>
          <w:szCs w:val="28"/>
        </w:rPr>
        <w:t>ю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ерераспределение земель и (или)  земельных участков, находящихся в муниципальной собственности, 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="0075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752B7B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досудебный (внесудебный) порядок обжалования решений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и действий (бездействия) Администрации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="00E20A96"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565107">
      <w:pPr>
        <w:pStyle w:val="ad"/>
        <w:ind w:firstLine="567"/>
        <w:jc w:val="both"/>
      </w:pPr>
      <w:r w:rsidRPr="00D32BED">
        <w:t>2</w:t>
      </w:r>
      <w:r w:rsidR="00B5647A" w:rsidRPr="00D32BED"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565107">
      <w:pPr>
        <w:pStyle w:val="ad"/>
        <w:ind w:firstLine="567"/>
        <w:jc w:val="both"/>
      </w:pPr>
      <w:r w:rsidRPr="00D32BED">
        <w:t xml:space="preserve">Признаки заявителя определяются в соответствии с Приложением № </w:t>
      </w:r>
      <w:r w:rsidR="00037061">
        <w:t>1</w:t>
      </w:r>
      <w:r w:rsidRPr="00D32BED"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65107" w:rsidRDefault="00D0158B" w:rsidP="0056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1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565107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65107" w:rsidRPr="00565107">
        <w:rPr>
          <w:rFonts w:ascii="Times New Roman" w:hAnsi="Times New Roman" w:cs="Times New Roman"/>
          <w:b/>
          <w:sz w:val="28"/>
          <w:szCs w:val="28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A55B4" w:rsidRPr="00D32BED" w:rsidRDefault="00D0158B" w:rsidP="00565107">
      <w:pPr>
        <w:pStyle w:val="ad"/>
        <w:ind w:firstLine="709"/>
        <w:jc w:val="both"/>
      </w:pPr>
      <w:r w:rsidRPr="00D32BED">
        <w:t>3.</w:t>
      </w:r>
      <w:r w:rsidR="00897207" w:rsidRPr="00D32BED">
        <w:t xml:space="preserve">1. </w:t>
      </w:r>
      <w:r w:rsidR="001A55B4" w:rsidRPr="00D32BED">
        <w:t xml:space="preserve">Прием заявителей по вопросу предоставления Муниципальной услуги осуществляется </w:t>
      </w:r>
      <w:r w:rsidR="00565107" w:rsidRPr="00565107">
        <w:rPr>
          <w:spacing w:val="7"/>
        </w:rPr>
        <w:t xml:space="preserve">в </w:t>
      </w:r>
      <w:r w:rsidR="00A02860">
        <w:t>администрации городского поселения – город Богучар</w:t>
      </w:r>
      <w:r w:rsidR="00565107" w:rsidRPr="00565107">
        <w:t xml:space="preserve"> (далее – Администрация) или в многофункциональном центре предоставления государственных и муниципальных услуг (далее - МФЦ)</w:t>
      </w:r>
      <w:r w:rsidR="001A55B4" w:rsidRPr="00565107">
        <w:t>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02860" w:rsidRP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="00565107">
        <w:rPr>
          <w:rFonts w:ascii="Times New Roman" w:hAnsi="Times New Roman" w:cs="Times New Roman"/>
          <w:sz w:val="28"/>
          <w:szCs w:val="28"/>
        </w:rPr>
        <w:t xml:space="preserve"> </w:t>
      </w:r>
      <w:r w:rsidR="00A02860" w:rsidRPr="00A02860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9" w:history="1">
        <w:r w:rsidR="00A02860" w:rsidRPr="00A02860">
          <w:rPr>
            <w:rStyle w:val="a6"/>
            <w:rFonts w:ascii="Times New Roman" w:hAnsi="Times New Roman" w:cs="Times New Roman"/>
            <w:sz w:val="28"/>
            <w:szCs w:val="28"/>
          </w:rPr>
          <w:t>https://gorod-boguchar.ru/</w:t>
        </w:r>
      </w:hyperlink>
      <w:r w:rsidR="00A02860" w:rsidRPr="00A02860">
        <w:rPr>
          <w:rFonts w:ascii="Times New Roman" w:hAnsi="Times New Roman" w:cs="Times New Roman"/>
          <w:spacing w:val="7"/>
          <w:sz w:val="28"/>
          <w:szCs w:val="28"/>
        </w:rPr>
        <w:t>)</w:t>
      </w:r>
      <w:r w:rsidR="005651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75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07" w:rsidRPr="0015596A" w:rsidRDefault="00D0158B" w:rsidP="00565107">
      <w:pPr>
        <w:pStyle w:val="11"/>
        <w:tabs>
          <w:tab w:val="left" w:pos="-426"/>
        </w:tabs>
        <w:ind w:firstLine="709"/>
        <w:jc w:val="both"/>
        <w:rPr>
          <w:rStyle w:val="0pt"/>
          <w:i w:val="0"/>
          <w:iCs w:val="0"/>
        </w:rPr>
      </w:pPr>
      <w:r w:rsidRPr="00D32BED">
        <w:t>5</w:t>
      </w:r>
      <w:r w:rsidR="00897207" w:rsidRPr="00D32BED">
        <w:t>.</w:t>
      </w:r>
      <w:r w:rsidRPr="00D32BED">
        <w:t>1.</w:t>
      </w:r>
      <w:r w:rsidR="001A55B4" w:rsidRPr="00D32BED">
        <w:tab/>
        <w:t xml:space="preserve">Муниципальная услуга предоставляется </w:t>
      </w:r>
      <w:r w:rsidR="00A02860">
        <w:t>администрацией городского поселения – город Богучар</w:t>
      </w:r>
      <w:r w:rsidR="00565107" w:rsidRPr="0015596A">
        <w:t xml:space="preserve"> (далее – Администрация)</w:t>
      </w:r>
      <w:r w:rsidR="00565107" w:rsidRPr="0015596A">
        <w:rPr>
          <w:rStyle w:val="0pt"/>
          <w:rFonts w:eastAsia="Arial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107" w:rsidRDefault="00D0158B" w:rsidP="00565107">
      <w:pPr>
        <w:pStyle w:val="11"/>
        <w:tabs>
          <w:tab w:val="left" w:pos="-426"/>
        </w:tabs>
        <w:ind w:firstLine="709"/>
        <w:jc w:val="both"/>
      </w:pPr>
      <w:r w:rsidRPr="00D32BED">
        <w:t>5.6</w:t>
      </w:r>
      <w:r w:rsidR="00897207" w:rsidRPr="00D32BED">
        <w:t xml:space="preserve">. При предоставлении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t>Администраци</w:t>
      </w:r>
      <w:r w:rsidR="00A846A5" w:rsidRPr="00D32BED">
        <w:t>я не вправе</w:t>
      </w:r>
      <w:r w:rsidR="00752B7B">
        <w:t xml:space="preserve"> </w:t>
      </w:r>
      <w:r w:rsidR="00897207" w:rsidRPr="00D32BED">
        <w:t xml:space="preserve">требовать от </w:t>
      </w:r>
      <w:r w:rsidR="0056549F" w:rsidRPr="00D32BED">
        <w:t>З</w:t>
      </w:r>
      <w:r w:rsidR="00897207" w:rsidRPr="00D32BED">
        <w:t xml:space="preserve">аявителя осуществления действий, в том числе согласований, необходимых для получения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rPr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E355EF" w:rsidRPr="00402FF8"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</w:t>
      </w:r>
      <w:r w:rsidR="00E355EF">
        <w:t>го района Воронежской области».</w:t>
      </w:r>
    </w:p>
    <w:p w:rsidR="004C7589" w:rsidRPr="00D32BED" w:rsidRDefault="004C7589" w:rsidP="00565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75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565107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i/>
          <w:sz w:val="28"/>
          <w:szCs w:val="28"/>
        </w:rPr>
        <w:t xml:space="preserve">(или </w:t>
      </w:r>
      <w:r w:rsidR="00F7419B" w:rsidRPr="0056510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разграничена)</w:t>
      </w:r>
      <w:r w:rsidR="00897207" w:rsidRPr="00565107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E355EF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Администрацию*,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1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r w:rsidR="007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256F77" w:rsidRDefault="003D289E" w:rsidP="002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BE49FD" w:rsidRPr="00256F77" w:rsidRDefault="00D0158B" w:rsidP="002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77">
        <w:rPr>
          <w:rFonts w:ascii="Times New Roman" w:hAnsi="Times New Roman" w:cs="Times New Roman"/>
          <w:sz w:val="28"/>
          <w:szCs w:val="28"/>
        </w:rPr>
        <w:t>8.2</w:t>
      </w:r>
      <w:r w:rsidR="003D289E" w:rsidRPr="00256F77">
        <w:rPr>
          <w:rFonts w:ascii="Times New Roman" w:hAnsi="Times New Roman" w:cs="Times New Roman"/>
          <w:sz w:val="28"/>
          <w:szCs w:val="28"/>
        </w:rPr>
        <w:t xml:space="preserve">. </w:t>
      </w:r>
      <w:r w:rsidR="0017747E" w:rsidRPr="00256F7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hyperlink r:id="rId17" w:history="1">
        <w:r w:rsidR="00256F77" w:rsidRPr="00256F77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https://bogucharskoe-r20.gosweb.gosuslugi.ru</w:t>
        </w:r>
      </w:hyperlink>
      <w:r w:rsidR="00256F77" w:rsidRPr="00256F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56F77" w:rsidRPr="00256F77" w:rsidRDefault="00256F77" w:rsidP="00256F77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565107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648D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«Подготовка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8404F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8404F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(или государственная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lastRenderedPageBreak/>
        <w:t>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(или государственная собственность на которые не разграничена)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995"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5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</w:t>
      </w:r>
      <w:r w:rsidR="00523817" w:rsidRPr="00D32BED">
        <w:rPr>
          <w:rFonts w:ascii="Times New Roman" w:hAnsi="Times New Roman" w:cs="Times New Roman"/>
          <w:sz w:val="28"/>
          <w:szCs w:val="28"/>
        </w:rPr>
        <w:lastRenderedPageBreak/>
        <w:t>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который не разграничена)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, в том числе учитывающие особенностипредоставления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услугипо экстерриториальному принципу и особенности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76023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D32BED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>(или государственная собственность на которые не разграничена)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BD1F42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r w:rsidR="00110995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 xml:space="preserve">4настоящего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8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9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B66161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66161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B66161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Богучар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40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Основанием принятия решения об исправлении допущенных опечаток и (или) ошибок в выданных в результате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700F5F" w:rsidRPr="00D32BED" w:rsidRDefault="00700F5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</w:t>
      </w:r>
      <w:r w:rsidR="007146A9" w:rsidRPr="00D32BED">
        <w:rPr>
          <w:sz w:val="28"/>
          <w:szCs w:val="28"/>
        </w:rPr>
        <w:lastRenderedPageBreak/>
        <w:t xml:space="preserve">правовых актов </w:t>
      </w:r>
      <w:r w:rsidR="00BD1F42">
        <w:rPr>
          <w:sz w:val="28"/>
          <w:szCs w:val="28"/>
        </w:rPr>
        <w:t xml:space="preserve">Богучарского муниципального района </w:t>
      </w:r>
      <w:r w:rsidR="007146A9" w:rsidRPr="00D32BED">
        <w:rPr>
          <w:sz w:val="28"/>
          <w:szCs w:val="28"/>
        </w:rPr>
        <w:t>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4.5.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D1F42">
        <w:rPr>
          <w:rFonts w:ascii="Times New Roman" w:eastAsia="Times New Roman" w:hAnsi="Times New Roman" w:cs="Times New Roman"/>
          <w:spacing w:val="7"/>
          <w:sz w:val="28"/>
          <w:szCs w:val="28"/>
        </w:rPr>
        <w:t>Богучарского муниципального района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контроль за предоставлением Муниципальной услуги, обязаны принимать меры по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42" w:rsidRPr="00FA1DEB" w:rsidRDefault="00897207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BD1F42"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BD1F42" w:rsidRPr="00FA1DEB" w:rsidRDefault="00BD1F42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4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4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2"/>
          <w:rFonts w:ascii="Times New Roman" w:hAnsi="Times New Roman" w:cs="Times New Roman"/>
          <w:bCs/>
          <w:sz w:val="28"/>
          <w:szCs w:val="28"/>
        </w:rPr>
        <w:footnoteReference w:id="1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49"/>
      <w:bookmarkEnd w:id="9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54"/>
      <w:bookmarkEnd w:id="10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1F42" w:rsidRPr="00094ACC" w:rsidRDefault="00BD1F42" w:rsidP="00BD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BD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3090"/>
        <w:gridCol w:w="5234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28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решения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1" w:name="Par546"/>
      <w:bookmarkEnd w:id="11"/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(государственная собственность на которые не разграничена)*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(вариант)собственность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5"/>
      <w:bookmarkEnd w:id="12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578"/>
      <w:bookmarkEnd w:id="13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89"/>
      <w:bookmarkEnd w:id="14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29"/>
      <w:bookmarkEnd w:id="15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№___________________от 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</w:t>
      </w:r>
      <w:r w:rsidR="00AA49A7" w:rsidRPr="00D32BED">
        <w:rPr>
          <w:rFonts w:ascii="Times New Roman" w:hAnsi="Times New Roman" w:cs="Times New Roman"/>
          <w:i/>
          <w:sz w:val="28"/>
          <w:szCs w:val="28"/>
        </w:rPr>
        <w:t>(вариант: государственная собственность на которые не разграничена)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676"/>
      <w:bookmarkEnd w:id="16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705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2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31"/>
      <w:bookmarkEnd w:id="19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находящего(их)ся  вмуниципальнойсобственности)/собственность   на  который  (которые)  не  разграничена,  скадастровым номером (кадастровыми номерами) ______________ для последующегозаключения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B66161" w:rsidRDefault="00B66161" w:rsidP="00B661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761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Прошу   заключить   соглашение  о  перераспределении  земель/земельногоучастка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/государственнаясобственность на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кадастровыеномера, площадь земельных участков) _________________ и земельного участка,находящегося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3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lastRenderedPageBreak/>
        <w:t>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B66161" w:rsidRDefault="00B66161" w:rsidP="00B661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839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B66161">
          <w:headerReference w:type="default" r:id="rId54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 результата 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958"/>
      <w:bookmarkEnd w:id="22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F1" w:rsidRDefault="005434F1" w:rsidP="00BE6795">
      <w:pPr>
        <w:spacing w:after="0" w:line="240" w:lineRule="auto"/>
      </w:pPr>
      <w:r>
        <w:separator/>
      </w:r>
    </w:p>
  </w:endnote>
  <w:endnote w:type="continuationSeparator" w:id="0">
    <w:p w:rsidR="005434F1" w:rsidRDefault="005434F1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F1" w:rsidRDefault="005434F1" w:rsidP="00BE6795">
      <w:pPr>
        <w:spacing w:after="0" w:line="240" w:lineRule="auto"/>
      </w:pPr>
      <w:r>
        <w:separator/>
      </w:r>
    </w:p>
  </w:footnote>
  <w:footnote w:type="continuationSeparator" w:id="0">
    <w:p w:rsidR="005434F1" w:rsidRDefault="005434F1" w:rsidP="00BE6795">
      <w:pPr>
        <w:spacing w:after="0" w:line="240" w:lineRule="auto"/>
      </w:pPr>
      <w:r>
        <w:continuationSeparator/>
      </w:r>
    </w:p>
  </w:footnote>
  <w:footnote w:id="1">
    <w:p w:rsidR="00700F5F" w:rsidRPr="00FA0EB0" w:rsidRDefault="00700F5F" w:rsidP="00BD1F42">
      <w:pPr>
        <w:pStyle w:val="af0"/>
        <w:rPr>
          <w:rFonts w:ascii="Times New Roman" w:hAnsi="Times New Roman" w:cs="Times New Roman"/>
        </w:rPr>
      </w:pPr>
      <w:r w:rsidRPr="00FA0EB0">
        <w:rPr>
          <w:rStyle w:val="af2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5F" w:rsidRDefault="00700F5F">
    <w:pPr>
      <w:pStyle w:val="a9"/>
      <w:jc w:val="center"/>
    </w:pPr>
  </w:p>
  <w:p w:rsidR="00700F5F" w:rsidRDefault="00700F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674B"/>
    <w:rsid w:val="00037061"/>
    <w:rsid w:val="00071AE4"/>
    <w:rsid w:val="000A4FEF"/>
    <w:rsid w:val="000E4ED8"/>
    <w:rsid w:val="000F43D1"/>
    <w:rsid w:val="00110995"/>
    <w:rsid w:val="00123844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207036"/>
    <w:rsid w:val="002101A8"/>
    <w:rsid w:val="002107E0"/>
    <w:rsid w:val="0022091E"/>
    <w:rsid w:val="00221819"/>
    <w:rsid w:val="00224248"/>
    <w:rsid w:val="00225B68"/>
    <w:rsid w:val="00232286"/>
    <w:rsid w:val="00256F77"/>
    <w:rsid w:val="0027054D"/>
    <w:rsid w:val="00274880"/>
    <w:rsid w:val="002828BC"/>
    <w:rsid w:val="00290A73"/>
    <w:rsid w:val="002B68AC"/>
    <w:rsid w:val="002B7880"/>
    <w:rsid w:val="002C778D"/>
    <w:rsid w:val="002D20B5"/>
    <w:rsid w:val="00300742"/>
    <w:rsid w:val="00305614"/>
    <w:rsid w:val="00342FFE"/>
    <w:rsid w:val="00371FDB"/>
    <w:rsid w:val="00375B57"/>
    <w:rsid w:val="00381DC8"/>
    <w:rsid w:val="00386B3B"/>
    <w:rsid w:val="003901BE"/>
    <w:rsid w:val="00394E6A"/>
    <w:rsid w:val="003B5019"/>
    <w:rsid w:val="003C367D"/>
    <w:rsid w:val="003C7B30"/>
    <w:rsid w:val="003D289E"/>
    <w:rsid w:val="003E75AD"/>
    <w:rsid w:val="003F19A8"/>
    <w:rsid w:val="003F7C57"/>
    <w:rsid w:val="004118A4"/>
    <w:rsid w:val="00443503"/>
    <w:rsid w:val="00454E7D"/>
    <w:rsid w:val="00485027"/>
    <w:rsid w:val="004B2070"/>
    <w:rsid w:val="004C7589"/>
    <w:rsid w:val="004C7F26"/>
    <w:rsid w:val="004E14EF"/>
    <w:rsid w:val="004E1BC8"/>
    <w:rsid w:val="0050558C"/>
    <w:rsid w:val="00513817"/>
    <w:rsid w:val="00523817"/>
    <w:rsid w:val="005434F1"/>
    <w:rsid w:val="00544173"/>
    <w:rsid w:val="00565107"/>
    <w:rsid w:val="0056549F"/>
    <w:rsid w:val="0059615B"/>
    <w:rsid w:val="00597BE0"/>
    <w:rsid w:val="00597D60"/>
    <w:rsid w:val="005D66D7"/>
    <w:rsid w:val="005E1A48"/>
    <w:rsid w:val="005F2F91"/>
    <w:rsid w:val="00636CE7"/>
    <w:rsid w:val="006464AF"/>
    <w:rsid w:val="00663928"/>
    <w:rsid w:val="00666C14"/>
    <w:rsid w:val="00670050"/>
    <w:rsid w:val="006B78FA"/>
    <w:rsid w:val="006C640B"/>
    <w:rsid w:val="006F5723"/>
    <w:rsid w:val="006F6660"/>
    <w:rsid w:val="00700F5F"/>
    <w:rsid w:val="007146A9"/>
    <w:rsid w:val="00716EEC"/>
    <w:rsid w:val="00723406"/>
    <w:rsid w:val="00730B9A"/>
    <w:rsid w:val="00752B7B"/>
    <w:rsid w:val="00752F38"/>
    <w:rsid w:val="007544EC"/>
    <w:rsid w:val="00764B85"/>
    <w:rsid w:val="00770077"/>
    <w:rsid w:val="007712E2"/>
    <w:rsid w:val="00782444"/>
    <w:rsid w:val="007E448F"/>
    <w:rsid w:val="007F7632"/>
    <w:rsid w:val="008435D5"/>
    <w:rsid w:val="00843DF6"/>
    <w:rsid w:val="00846329"/>
    <w:rsid w:val="00854841"/>
    <w:rsid w:val="00861A43"/>
    <w:rsid w:val="00866D3A"/>
    <w:rsid w:val="0087725B"/>
    <w:rsid w:val="00897207"/>
    <w:rsid w:val="008A3992"/>
    <w:rsid w:val="008F0C29"/>
    <w:rsid w:val="008F2E51"/>
    <w:rsid w:val="00921542"/>
    <w:rsid w:val="00925147"/>
    <w:rsid w:val="009631D4"/>
    <w:rsid w:val="00964DB3"/>
    <w:rsid w:val="00977F65"/>
    <w:rsid w:val="009B6B44"/>
    <w:rsid w:val="009E0AA8"/>
    <w:rsid w:val="00A0179C"/>
    <w:rsid w:val="00A02860"/>
    <w:rsid w:val="00A02E5B"/>
    <w:rsid w:val="00A06D63"/>
    <w:rsid w:val="00A06E59"/>
    <w:rsid w:val="00A16FAE"/>
    <w:rsid w:val="00A26DF6"/>
    <w:rsid w:val="00A44CF1"/>
    <w:rsid w:val="00A4587C"/>
    <w:rsid w:val="00A5033D"/>
    <w:rsid w:val="00A718D5"/>
    <w:rsid w:val="00A81984"/>
    <w:rsid w:val="00A83EF3"/>
    <w:rsid w:val="00A846A5"/>
    <w:rsid w:val="00A858B7"/>
    <w:rsid w:val="00AA348E"/>
    <w:rsid w:val="00AA49A7"/>
    <w:rsid w:val="00AC4094"/>
    <w:rsid w:val="00AC7183"/>
    <w:rsid w:val="00AD6226"/>
    <w:rsid w:val="00B35CFC"/>
    <w:rsid w:val="00B4693D"/>
    <w:rsid w:val="00B50767"/>
    <w:rsid w:val="00B5647A"/>
    <w:rsid w:val="00B66161"/>
    <w:rsid w:val="00B85172"/>
    <w:rsid w:val="00BA0FBD"/>
    <w:rsid w:val="00BA6F46"/>
    <w:rsid w:val="00BB7CD4"/>
    <w:rsid w:val="00BD1F42"/>
    <w:rsid w:val="00BD3A9B"/>
    <w:rsid w:val="00BE1702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E2576"/>
    <w:rsid w:val="00D0158B"/>
    <w:rsid w:val="00D07E35"/>
    <w:rsid w:val="00D113EF"/>
    <w:rsid w:val="00D32BED"/>
    <w:rsid w:val="00D61C57"/>
    <w:rsid w:val="00D701E7"/>
    <w:rsid w:val="00DA7AE7"/>
    <w:rsid w:val="00DF7D42"/>
    <w:rsid w:val="00E012D8"/>
    <w:rsid w:val="00E17DF7"/>
    <w:rsid w:val="00E20A96"/>
    <w:rsid w:val="00E24F61"/>
    <w:rsid w:val="00E27A5A"/>
    <w:rsid w:val="00E355EF"/>
    <w:rsid w:val="00E47EDE"/>
    <w:rsid w:val="00E82187"/>
    <w:rsid w:val="00E91597"/>
    <w:rsid w:val="00EC161F"/>
    <w:rsid w:val="00EE3847"/>
    <w:rsid w:val="00EF20DB"/>
    <w:rsid w:val="00F16FDC"/>
    <w:rsid w:val="00F5160B"/>
    <w:rsid w:val="00F5342E"/>
    <w:rsid w:val="00F54615"/>
    <w:rsid w:val="00F648D9"/>
    <w:rsid w:val="00F7022A"/>
    <w:rsid w:val="00F733A6"/>
    <w:rsid w:val="00F7419B"/>
    <w:rsid w:val="00F84CF2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1">
    <w:name w:val="heading 1"/>
    <w:basedOn w:val="a"/>
    <w:next w:val="a"/>
    <w:link w:val="10"/>
    <w:qFormat/>
    <w:rsid w:val="00AC40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10">
    <w:name w:val="Заголовок 1 Знак"/>
    <w:basedOn w:val="a0"/>
    <w:link w:val="1"/>
    <w:rsid w:val="00AC40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 Spacing"/>
    <w:qFormat/>
    <w:rsid w:val="00AC40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AC4094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rsid w:val="00AC4094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AC409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11">
    <w:name w:val="Основной текст1"/>
    <w:basedOn w:val="a"/>
    <w:rsid w:val="005651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0pt">
    <w:name w:val="Основной текст + Курсив;Интервал 0 pt"/>
    <w:rsid w:val="005651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BD1F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D1F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D1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6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9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2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4" Type="http://schemas.openxmlformats.org/officeDocument/2006/relationships/hyperlink" Target="consultantplus://offline/ref=747F550818F2E0180D6BB7944D239EA312548B0856C7A5CAD94B85812825281330C249BF73CD22E0EC49820900L6WFJ" TargetMode="External"/><Relationship Id="rId4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0" Type="http://schemas.openxmlformats.org/officeDocument/2006/relationships/hyperlink" Target="consultantplus://offline/ref=747F550818F2E0180D6BB7944D239EA312568C0151C5A5CAD94B85812825281330C249BF73CD22E0EC49820900L6WFJ" TargetMode="External"/><Relationship Id="rId5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https://bogucharskoe-r20.gosweb.gosuslugi.ru" TargetMode="External"/><Relationship Id="rId2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3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8" Type="http://schemas.openxmlformats.org/officeDocument/2006/relationships/hyperlink" Target="https://login.consultant.ru/link/?req=doc&amp;base=LAW&amp;n=430635&amp;date=04.06.2023" TargetMode="External"/><Relationship Id="rId4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9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4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2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0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8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6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9" Type="http://schemas.openxmlformats.org/officeDocument/2006/relationships/hyperlink" Target="consultantplus://offline/ref=747F550818F2E0180D6BB7944D239EA312548B0850C6A5CAD94B85812825281330C249BF73CD22E0EC49820900L6WFJ" TargetMode="External"/><Relationship Id="rId5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8D0D47D8CE243289D5423557DE7D054CF5FF7EB4122DA44D65CB7086FD1250B3998B52F41D7B5C4626C7E5698Ci3pCI" TargetMode="External"/><Relationship Id="rId31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gorod-boguchar.ru/" TargetMode="External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0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5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9984-A6AB-40F2-A298-DC5D150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79</Pages>
  <Words>23349</Words>
  <Characters>133095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</cp:lastModifiedBy>
  <cp:revision>28</cp:revision>
  <cp:lastPrinted>2023-09-04T12:19:00Z</cp:lastPrinted>
  <dcterms:created xsi:type="dcterms:W3CDTF">2023-06-06T09:34:00Z</dcterms:created>
  <dcterms:modified xsi:type="dcterms:W3CDTF">2023-10-09T11:59:00Z</dcterms:modified>
</cp:coreProperties>
</file>